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EEEE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w:t>
      </w:r>
      <w:r>
        <w:rPr>
          <w:rFonts w:hint="eastAsia" w:cstheme="minorBidi"/>
          <w:b/>
          <w:bCs/>
          <w:sz w:val="28"/>
          <w:szCs w:val="36"/>
          <w:lang w:val="en-US" w:eastAsia="zh-CN" w:bidi="ar-SA"/>
        </w:rPr>
        <w:t>七</w:t>
      </w:r>
      <w:r>
        <w:rPr>
          <w:rFonts w:hint="eastAsia" w:asciiTheme="minorHAnsi" w:hAnsiTheme="minorHAnsi" w:eastAsiaTheme="minorEastAsia" w:cstheme="minorBidi"/>
          <w:b/>
          <w:bCs/>
          <w:sz w:val="28"/>
          <w:szCs w:val="36"/>
          <w:lang w:val="en-US" w:eastAsia="zh-CN" w:bidi="ar-SA"/>
        </w:rPr>
        <w:t xml:space="preserve"> 财产清查</w:t>
      </w:r>
    </w:p>
    <w:p w14:paraId="4BE064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39F9B9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1.企业经批准转销无法查明原因的现金溢余，应计入（ ）</w:t>
      </w:r>
    </w:p>
    <w:p w14:paraId="1E5C8F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A.营业外收入</w:t>
      </w:r>
    </w:p>
    <w:p w14:paraId="01A9E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B.管理费用</w:t>
      </w:r>
    </w:p>
    <w:p w14:paraId="0C4A3A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C.其他业务收入</w:t>
      </w:r>
    </w:p>
    <w:p w14:paraId="295FAD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D.财务费用</w:t>
      </w:r>
    </w:p>
    <w:p w14:paraId="7ECB49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甲公司是一家电器生产商，在对库存存货进行盘点时，应采用的清查方法是（　）。</w:t>
      </w:r>
    </w:p>
    <w:p w14:paraId="04E3352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A、实地盘点法    </w:t>
      </w: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B、技术推算法    </w:t>
      </w: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C、对账单法    </w:t>
      </w: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D、询证函法</w:t>
      </w:r>
    </w:p>
    <w:p w14:paraId="5B9D191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r>
        <w:rPr>
          <w:rFonts w:hint="default" w:ascii="宋体" w:hAnsi="宋体" w:eastAsia="宋体" w:cs="宋体"/>
          <w:sz w:val="24"/>
          <w:szCs w:val="24"/>
          <w:lang w:val="en-US" w:eastAsia="zh-CN" w:bidi="ar-SA"/>
        </w:rPr>
        <w:t>下列有关财产清查方法的表述中，错误的是（　　）。</w:t>
      </w:r>
    </w:p>
    <w:p w14:paraId="54B64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A、银行存款的清查，采用与开户银行核对账目的方法</w:t>
      </w: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p>
    <w:p w14:paraId="7D733A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B、露天堆放煤炭的清查，采用实地盘点法</w:t>
      </w: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p>
    <w:p w14:paraId="2F5826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C、库存现金的清查，采用实地盘点法</w:t>
      </w: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p>
    <w:p w14:paraId="6CCF663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D、应收账款的清查，采用发函询证的方法</w:t>
      </w:r>
    </w:p>
    <w:p w14:paraId="097534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下列各项中，会导致企业银行存款日记账余额大于银行对账单余额的是（</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314AF3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A、企业开出商业汇票，对方未到银行兑现</w:t>
      </w:r>
    </w:p>
    <w:p w14:paraId="1BD17F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B、银行误将其他公司的存款计入本企业银行存款账户</w:t>
      </w:r>
    </w:p>
    <w:p w14:paraId="47EAB3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C、银行代扣水电费，企业尚未接到通知</w:t>
      </w:r>
    </w:p>
    <w:p w14:paraId="5F561D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D、银行收到委托收款结算方式下结算款项，企业尚未收到通知</w:t>
      </w:r>
    </w:p>
    <w:p w14:paraId="515815C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企业银行存款日记账余额与银行对账单不符，企业银行日记账余额是150万元，企业日记账和银行对账单差异包括：企业收到货款10万元，银行未入账，企业开出支票5万元，对方尚未到银行办理收款，银行代扣水电费2万元，企业尚未入账，调节之后的企业银行存款余额为（</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0A84CD6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A、160      </w:t>
      </w:r>
      <w:r>
        <w:rPr>
          <w:rFonts w:hint="eastAsia" w:ascii="宋体" w:hAnsi="宋体" w:eastAsia="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B、165      </w:t>
      </w:r>
      <w:r>
        <w:rPr>
          <w:rFonts w:hint="eastAsia" w:ascii="宋体" w:hAnsi="宋体" w:eastAsia="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C、152</w:t>
      </w:r>
      <w:r>
        <w:rPr>
          <w:rFonts w:hint="eastAsia" w:ascii="宋体" w:hAnsi="宋体" w:eastAsia="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D、148</w:t>
      </w:r>
    </w:p>
    <w:p w14:paraId="04E1D9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6.下列各项中，企业确认盘盈固定资产初始入账价值所采用的会计计量属性是（　）。</w:t>
      </w:r>
    </w:p>
    <w:p w14:paraId="7C460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A可变现净值</w:t>
      </w:r>
    </w:p>
    <w:p w14:paraId="7138BE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B重置成本</w:t>
      </w:r>
    </w:p>
    <w:p w14:paraId="00116B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C现值</w:t>
      </w:r>
    </w:p>
    <w:p w14:paraId="139D76C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D公允价值</w:t>
      </w:r>
    </w:p>
    <w:p w14:paraId="2428B4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7.2x23年9月30日，甲公司银行存款日记账的余额为485万元，银行转来对账单的余额为500万元，经逐笔核对，发现两笔未达账项：公司已开出转账支票并登记银行存款减少20万元，银行尚未记账，银行扣除利息并登记公司银行存款减少5万元，公司未收到银行付款通知，不考虑其他因素，2x23年9月30日，甲公司银行存款余额调节表中调节后的银行存款余额为（）万元。</w:t>
      </w:r>
    </w:p>
    <w:p w14:paraId="793A9F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A.495      B.480      C.465      D.460</w:t>
      </w:r>
    </w:p>
    <w:p w14:paraId="32B2A6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r>
        <w:rPr>
          <w:rFonts w:hint="default" w:ascii="宋体" w:hAnsi="宋体" w:eastAsia="宋体" w:cs="宋体"/>
          <w:sz w:val="24"/>
          <w:szCs w:val="24"/>
          <w:lang w:val="en-US" w:eastAsia="zh-CN" w:bidi="ar-SA"/>
        </w:rPr>
        <w:t>下列各项中，关于存货盘亏或毁损的处理，不正确的是（　）。</w:t>
      </w:r>
    </w:p>
    <w:p w14:paraId="10EC0F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object>
          <v:shape id="_x0000_i1049"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A、由于管理不善造成的存货净损失计入管理费用</w:t>
      </w:r>
    </w:p>
    <w:p w14:paraId="46EC92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object>
          <v:shape id="_x0000_i1050"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B、自然灾害造成的存货净损失计入营业外支出</w:t>
      </w:r>
    </w:p>
    <w:p w14:paraId="5326C6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object>
          <v:shape id="_x0000_i1051"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C、存货跌价准备应转出到待处理财产损溢</w:t>
      </w:r>
    </w:p>
    <w:p w14:paraId="5BF7661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D、自然灾害造成的存货毁损，其进项税额应作转出</w:t>
      </w:r>
    </w:p>
    <w:p w14:paraId="120712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对于企业盘盈的存货，应按照（　）作为入账价值。</w:t>
      </w:r>
    </w:p>
    <w:p w14:paraId="33A5D9B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object>
          <v:shape id="_x0000_i1053"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 xml:space="preserve">A、公允价值    </w:t>
      </w:r>
      <w:r>
        <w:rPr>
          <w:rFonts w:hint="eastAsia" w:ascii="宋体" w:hAnsi="宋体" w:eastAsia="宋体" w:cs="宋体"/>
          <w:sz w:val="24"/>
          <w:szCs w:val="24"/>
          <w:lang w:val="en-US" w:eastAsia="zh-CN" w:bidi="ar-SA"/>
        </w:rPr>
        <w:object>
          <v:shape id="_x0000_i1054"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B、可变现净值</w:t>
      </w:r>
      <w:r>
        <w:rPr>
          <w:rFonts w:hint="eastAsia" w:ascii="宋体" w:hAnsi="宋体" w:eastAsia="宋体" w:cs="宋体"/>
          <w:sz w:val="24"/>
          <w:szCs w:val="24"/>
          <w:lang w:val="en-US" w:eastAsia="zh-CN" w:bidi="ar-SA"/>
        </w:rPr>
        <w:object>
          <v:shape id="_x0000_i1055"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 xml:space="preserve">    C、重置成本    </w:t>
      </w:r>
      <w:r>
        <w:rPr>
          <w:rFonts w:hint="eastAsia" w:ascii="宋体" w:hAnsi="宋体" w:eastAsia="宋体" w:cs="宋体"/>
          <w:sz w:val="24"/>
          <w:szCs w:val="24"/>
          <w:lang w:val="en-US" w:eastAsia="zh-CN" w:bidi="ar-SA"/>
        </w:rPr>
        <w:object>
          <v:shape id="_x0000_i1056" o:spt="201" type="#_x0000_t201" style="height:0pt;width:0.05pt;" o:ole="t" filled="f" coordsize="21600,21600">
            <v:path/>
            <v:fill on="f" focussize="0,0"/>
            <v:stroke/>
            <v:imagedata o:title=""/>
            <o:lock v:ext="edit" aspectratio="t"/>
            <w10:wrap type="none"/>
            <w10:anchorlock/>
          </v:shape>
        </w:object>
      </w:r>
      <w:r>
        <w:rPr>
          <w:rFonts w:hint="eastAsia" w:ascii="宋体" w:hAnsi="宋体" w:eastAsia="宋体" w:cs="宋体"/>
          <w:sz w:val="24"/>
          <w:szCs w:val="24"/>
          <w:lang w:val="en-US" w:eastAsia="zh-CN" w:bidi="ar-SA"/>
        </w:rPr>
        <w:t>D、账面价值</w:t>
      </w:r>
    </w:p>
    <w:p w14:paraId="6EAB65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10.企业盘盈固定资产，应按其（ ）进行入账。</w:t>
      </w:r>
    </w:p>
    <w:p w14:paraId="612B0A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A.历史成本    B.重置成本    C.现值    D.公允价值</w:t>
      </w:r>
    </w:p>
    <w:p w14:paraId="568A02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11.企业在年终决算之前所进行的财产清查，属于(  )。</w:t>
      </w:r>
    </w:p>
    <w:p w14:paraId="4F1C1B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A.全面清查和不定期清查</w:t>
      </w:r>
    </w:p>
    <w:p w14:paraId="14BB6F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B.局部清查和定期清查</w:t>
      </w:r>
    </w:p>
    <w:p w14:paraId="32E029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C.局部清查和不定期清查</w:t>
      </w:r>
    </w:p>
    <w:p w14:paraId="291C0F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D.全面清查和定期清查</w:t>
      </w:r>
    </w:p>
    <w:p w14:paraId="320DA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76C81E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0A085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default" w:ascii="宋体" w:hAnsi="宋体" w:eastAsia="宋体" w:cs="宋体"/>
          <w:sz w:val="24"/>
          <w:szCs w:val="24"/>
          <w:lang w:val="en-US" w:eastAsia="zh-CN" w:bidi="ar-SA"/>
        </w:rPr>
        <w:t>下列各项中，企业必须进行财产全面清查的有（　）。</w:t>
      </w:r>
    </w:p>
    <w:p w14:paraId="523B53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4Ep3f/wEAABgEAAAOAAAAZHJzL2Uyb0RvYy54bWytU0uOEzEQ3SNxB8t7&#10;0pkwM4JWOiM0YdiMYKSBA1Rsd7eFf3I56eQ0SOw4BMdBXIOyO8n8NlnQi1bZrnpV7/l5frW1hm1U&#10;RO1dw88mU86UE15q1zX829ebN+84wwROgvFONXynkF8tXr+aD6FWM997I1VkBOKwHkLD+5RCXVUo&#10;emUBJz4oR4etjxYSLWNXyQgDoVtTzabTy2rwUYbohUKk3eV4yPeI8RRA37ZaqKUXa6tcGlGjMpCI&#10;EvY6IF+UadtWifSlbVElZhpOTFP5UxOKV/lfLeZQdxFCr8V+BDhlhGecLGhHTY9QS0jA1lG/gLJa&#10;RI++TRPhbTUSKYoQi7PpM23uewiqcCGpMRxFx/8HKz5v7iLTsuHnnDmwdOF/f/z68/snO8/aDAFr&#10;SrkPdzGzw3DrxXdkzl/34Dr1AQMpTC7KudWT5LzAfdm2jTaXE122LdrvjtqrbWKCNi/fXnAmDvsV&#10;1IeiEDF9Ut6yHDQ8UsOiNGxuMeW2UB9Scg/nb7Qx5VqNY0PD31/MMjKQVVuyCIU2EF10XYFBb7TM&#10;JYVf7FbXJrINZLuUrzAj5o/Tcr8lYD/mlaPRSFYnFUvvXoH86CRLu0CSOnpJPA9jleTMKHp4OSqZ&#10;CbQ5JZN4GrdXeRQ2S7zyckcXuA5Rd/2TmyDDFHH25s6OfLwuSA8PevE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LgSnd//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A、股份制改造前</w:t>
      </w:r>
    </w:p>
    <w:p w14:paraId="660495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X3S8k/wEAABgEAAAOAAAAZHJzL2Uyb0RvYy54bWytU81uEzEQviPxDpbv&#10;ZNNErWCVTYUayqWCSi0PMLG9uxb+k8fJJk+DxI2H4HEQr8HYm4S2XHJgD6uxPfPNfJ8/L6531rCt&#10;iqi9a/jFZMqZcsJL7bqGf3m8ffOWM0zgJBjvVMP3Cvn18vWrxRBqNfO9N1JFRiAO6yE0vE8p1FWF&#10;olcWcOKDcnTY+mgh0TJ2lYwwELo11Ww6vaoGH2WIXihE2l2Nh/yAGM8B9G2rhVp5sbHKpRE1KgOJ&#10;KGGvA/JlmbZtlUif2xZVYqbhxDSVPzWheJ3/1XIBdRch9FocRoBzRnjByYJ21PQEtYIEbBP1P1BW&#10;i+jRt2kivK1GIkURYnExfaHNQw9BFS4kNYaT6Pj/YMWn7X1kWjZ8zpkDSxf++9uPXz+/s3nWZghY&#10;U8pDuI+ZHYY7L74ic/6mB9ep9xhIYXJRzq2eJecFHsp2bbS5nOiyXdF+f9Je7RITtHk1v+RMHPcr&#10;qI9FIWL6qLxlOWh4pIZFadjeYcptoT6m5B7O32pjyrUax4aGv7ucZWQgq7ZkEQptILrougKD3miZ&#10;Swq/2K1vTGRbyHYpX2FGzJ+m5X4rwH7MK0ejkaxOKpbevQL5wUmW9oEkdfSSeB7GKsmZUfTwclQy&#10;E2hzTibxNO6g8ihslnjt5Z4ucBOi7vpnN0GGKeIczJ0d+XRdkP4+6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NfdLyT/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B、单位改变隶属关系前</w:t>
      </w: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unxIB/wEAABgEAAAOAAAAZHJzL2Uyb0RvYy54bWytU81uEzEQviPxDpbv&#10;ZNOgVrDKpkIN5VJBpcIDTGzvroX/5HGyydMgceMheBzEazD2bkJbLjmwh9XYnvlmvs+fl9d7a9hO&#10;RdTeNfxiNudMOeGldl3Dv3y+ffWGM0zgJBjvVMMPCvn16uWL5RBqtfC9N1JFRiAO6yE0vE8p1FWF&#10;olcWcOaDcnTY+mgh0TJ2lYwwELo11WI+v6oGH2WIXihE2l2Ph3xCjOcA+rbVQq292Frl0ogalYFE&#10;lLDXAfmqTNu2SqRPbYsqMdNwYprKn5pQvMn/arWEuosQei2mEeCcEZ5xsqAdNT1BrSEB20b9D5TV&#10;Inr0bZoJb6uRSFGEWFzMn2nz0ENQhQtJjeEkOv4/WPFxdx+Zlg1fcObA0oX//vbj18/vbJG1GQLW&#10;lPIQ7mNmh+HOi6/InL/pwXXqHQZSmFyUc6snyXmBU9m+jTaXE122L9ofTtqrfWKCNq9eX3ImjvsV&#10;1MeiEDF9UN6yHDQ8UsOiNOzuMOW2UB9Tcg/nb7Ux5VqNY0PD314uMjKQVVuyCIU2EF10XYFBb7TM&#10;JYVf7DY3JrIdZLuUrzAj5o/Tcr81YD/mlaPRSFYnFUvvXoF87yRLh0CSOnpJPA9jleTMKHp4OSqZ&#10;CbQ5J5N4GjepPAqbJd54eaAL3Iaou/7JTZBhijiTubMjH68L0t8Hvf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K6fEgH/AQAAGAQAAA4AAAAAAAAAAQAgAAAAHQEAAGRycy9lMm9Eb2MueG1s&#10;UEsFBgAAAAAGAAYAWQEAAI4FAAAAAA==&#10;">
                <v:fill on="f" focussize="0,0"/>
                <v:stroke color="#000000" joinstyle="miter"/>
                <v:imagedata o:title=""/>
                <o:lock v:ext="edit" aspectratio="t"/>
                <w10:wrap type="none"/>
                <w10:anchorlock/>
              </v:rect>
            </w:pict>
          </mc:Fallback>
        </mc:AlternateContent>
      </w:r>
    </w:p>
    <w:p w14:paraId="242623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C、单位主要领导人离任交接前</w:t>
      </w:r>
    </w:p>
    <w:p w14:paraId="6D62CE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lWVVu/gEAABgEAAAOAAAAZHJzL2Uyb0RvYy54bWytU81uEzEQviPxDpbv&#10;ZJOgVrDKpkIN5VJBpcIDTGzvrlX/yeNkk6dB4sZD8DiI12DsTUJbLjl0D6uxPfPNfJ8/L6521rCt&#10;iqi9a/hsMuVMOeGldl3Dv329efOOM0zgJBjvVMP3CvnV8vWrxRBqNfe9N1JFRiAO6yE0vE8p1FWF&#10;olcWcOKDcnTY+mgh0TJ2lYwwELo11Xw6vawGH2WIXihE2l2Nh/yAGM8B9G2rhVp5sbHKpRE1KgOJ&#10;KGGvA/JlmbZtlUhf2hZVYqbhxDSVPzWheJ3/1XIBdRch9FocRoBzRnjGyYJ21PQEtYIEbBP1f1BW&#10;i+jRt2kivK1GIkURYjGbPtPmvoegCheSGsNJdHw5WPF5exeZluQEzhxYuvA/33/+/vWDzbI2Q8Ca&#10;Uu7DXczsMNx68YDM+eseXKc+YCCFcy3lVk+S8wIPZbs22lxOdNmuaL8/aa92iQnavHx7wZk47ldQ&#10;H4tCxPRJecty0PBIDYvSsL3FlNtCfUzJPZy/0caUazWODQ1/fzHPyEBWbckiFNpAdNF1BQa90TKX&#10;FH6xW1+byLaQ7VK+woyYP07L/VaA/ZhXjkYjWZ1ULL17BfKjkyztA0nq6CXxPIxVkjOj6OHlqGQm&#10;0OacTOJp3EHlUdgs8drLPV3gJkTd9U9uggxTxDmYOzvy8bog/XvQ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GU5CpzgAAAP8AAAAPAAAAAAAAAAEAIAAAACIAAABkcnMvZG93bnJldi54bWxQSwEC&#10;FAAUAAAACACHTuJAJVlVbv4BAAAYBAAADgAAAAAAAAABACAAAAAdAQAAZHJzL2Uyb0RvYy54bWxQ&#10;SwUGAAAAAAYABgBZAQAAjQU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D、清产核资前</w:t>
      </w:r>
    </w:p>
    <w:p w14:paraId="306FB3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单位撤销、合并或改变隶属关系前进行的清查属于（　）。</w:t>
      </w:r>
    </w:p>
    <w:p w14:paraId="6EAFF9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A、全面清查    </w:t>
      </w:r>
      <w:r>
        <w:rPr>
          <w:rFonts w:hint="eastAsia" w:ascii="宋体" w:hAnsi="宋体" w:eastAsia="宋体" w:cs="宋体"/>
          <w:sz w:val="24"/>
          <w:szCs w:val="24"/>
          <w:lang w:val="en-US" w:eastAsia="zh-CN" w:bidi="ar-SA"/>
        </w:rPr>
        <w:pict>
          <v:shape id="_x0000_i104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B、不定期清查    </w:t>
      </w:r>
      <w:r>
        <w:rPr>
          <w:rFonts w:hint="eastAsia" w:ascii="宋体" w:hAnsi="宋体" w:eastAsia="宋体" w:cs="宋体"/>
          <w:sz w:val="24"/>
          <w:szCs w:val="24"/>
          <w:lang w:val="en-US" w:eastAsia="zh-CN" w:bidi="ar-SA"/>
        </w:rPr>
        <w:pict>
          <v:shape id="_x0000_i104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C、定期清查    </w:t>
      </w:r>
      <w:r>
        <w:rPr>
          <w:rFonts w:hint="eastAsia" w:ascii="宋体" w:hAnsi="宋体" w:eastAsia="宋体" w:cs="宋体"/>
          <w:sz w:val="24"/>
          <w:szCs w:val="24"/>
          <w:lang w:val="en-US" w:eastAsia="zh-CN" w:bidi="ar-SA"/>
        </w:rPr>
        <w:pict>
          <v:shape id="_x0000_i104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D、局部清查</w:t>
      </w:r>
    </w:p>
    <w:p w14:paraId="2ADF8D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r>
        <w:rPr>
          <w:rFonts w:hint="default" w:ascii="宋体" w:hAnsi="宋体" w:eastAsia="宋体" w:cs="宋体"/>
          <w:sz w:val="24"/>
          <w:szCs w:val="24"/>
          <w:lang w:val="en-US" w:eastAsia="zh-CN" w:bidi="ar-SA"/>
        </w:rPr>
        <w:t>下列各项中，关于财产清查的相关表述正确的有（　）。</w:t>
      </w:r>
    </w:p>
    <w:p w14:paraId="6E49E0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A、往来款项清查一般采用发函询证方法</w:t>
      </w:r>
    </w:p>
    <w:p w14:paraId="5D1617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B、库存现金清查采用实地盘点法</w:t>
      </w:r>
    </w:p>
    <w:p w14:paraId="6E994B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C、银行存款清查采用与开户行核对账目的方法</w:t>
      </w:r>
      <w:r>
        <w:rPr>
          <w:rFonts w:hint="eastAsia" w:ascii="宋体" w:hAnsi="宋体" w:eastAsia="宋体" w:cs="宋体"/>
          <w:sz w:val="24"/>
          <w:szCs w:val="24"/>
          <w:lang w:val="en-US" w:eastAsia="zh-CN" w:bidi="ar-SA"/>
        </w:rPr>
        <w:pict>
          <v:shape id="_x0000_i1048" o:spt="201" type="#_x0000_t201" style="height:0pt;width:0.05pt;" filled="f" coordsize="21600,21600">
            <v:path/>
            <v:fill on="f" focussize="0,0"/>
            <v:stroke/>
            <v:imagedata o:title=""/>
            <o:lock v:ext="edit" aspectratio="t"/>
            <w10:wrap type="none"/>
            <w10:anchorlock/>
          </v:shape>
        </w:pict>
      </w:r>
    </w:p>
    <w:p w14:paraId="0D4719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D、实物资产清查采用实地盘点法</w:t>
      </w:r>
    </w:p>
    <w:p w14:paraId="3CFAF3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下列各项中，关于现金清查的会计处理表述正确的有（　　）。</w:t>
      </w:r>
    </w:p>
    <w:p w14:paraId="1ED2AD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7" name="矩形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z1Nqw/wEAABgEAAAOAAAAZHJzL2Uyb0RvYy54bWytU0uOEzEQ3SNxB8t7&#10;0pmgmYFWOiM0YdiMYKSBA1Rsd7eFf3I56eQ0SOw4BMdBXIOyO8n8NlnQi1bZrnpV7/l5frW1hm1U&#10;RO1dw88mU86UE15q1zX829ebN+84wwROgvFONXynkF8tXr+aD6FWM997I1VkBOKwHkLD+5RCXVUo&#10;emUBJz4oR4etjxYSLWNXyQgDoVtTzabTi2rwUYbohUKk3eV4yPeI8RRA37ZaqKUXa6tcGlGjMpCI&#10;EvY6IF+UadtWifSlbVElZhpOTFP5UxOKV/lfLeZQdxFCr8V+BDhlhGecLGhHTY9QS0jA1lG/gLJa&#10;RI++TRPhbTUSKYoQi7PpM23uewiqcCGpMRxFx/8HKz5v7iLTsuGXnDmwdOF/f/z68/snu8zaDAFr&#10;SrkPdzGzw3DrxXdkzl/34Dr1AQMpTC7KudWT5LzAfdm2jTaXE122LdrvjtqrbWKCNi/ennMmDvsV&#10;1IeiEDF9Ut6yHDQ8UsOiNGxuMeW2UB9Scg/nb7Qx5VqNY0PD35/PMjKQVVuyCIU2EF10XYFBb7TM&#10;JYVf7FbXJrINZLuUrzAj5o/Tcr8lYD/mlaPRSFYnFUvvXoH86CRLu0CSOnpJPA9jleTMKHp4OSqZ&#10;CbQ5JZN4GrdXeRQ2S7zyckcXuA5Rd/2TmyDDFHH25s6OfLwuSA8PevE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DPU2rD/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A、无法查明原因的现金短缺，计入管理费用</w:t>
      </w: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VDvO5/wEAABgEAAAOAAAAZHJzL2Uyb0RvYy54bWytU0tu2zAQ3RfoHQju&#10;azkuEqSC5SCIm26CNkDSA4xJSiLCHzi0ZZ+mQHc9RI9T9BodUrabpBsvqoXAz8ybeW8e51dba9hG&#10;RdTeNfxsMuVMOeGldl3Dvz7evrvkDBM4CcY71fCdQn61ePtmPoRazXzvjVSREYjDeggN71MKdVWh&#10;6JUFnPigHF22PlpItI1dJSMMhG5NNZtOL6rBRxmiFwqRTpfjJd8jxlMAfdtqoZZerK1yaUSNykAi&#10;StjrgHxRum1bJdKXtkWVmGk4MU3lT0Vovcr/ajGHuosQei32LcApLbziZEE7KnqEWkICto76Hyir&#10;RfTo2zQR3lYjkaIIsTibvtLmoYegCheSGsNRdPx/sOLz5j4yLRtOY3dgaeC/v/349fM7u8zaDAFr&#10;CnkI9zGzw3DnxRMy5296cJ26xkAKk4tybPUiOG9wn7Zto83pRJdti/a7o/Zqm5igw4v355yJw3kF&#10;9SEpREyflLcsLxoeqWBRGjZ3mHJZqA8huYbzt9qYMlbj2NDwD+ezjAxk1ZYsQksbiC66rsCgN1rm&#10;lMIvdqsbE9kGsl3KV5gR8+dhud4SsB/jytVoJKuTiqV2r0B+dJKlXSBJHb0knpuxSnJmFD28vCqR&#10;CbQ5JZJ4GrdXeRQ2S7zyckcDXIeou/7FJMgwRZy9ubMjn+8L0t8Hvfg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NUO87n/AQAAGAQAAA4AAAAAAAAAAQAgAAAAHQEAAGRycy9lMm9Eb2MueG1s&#10;UEsFBgAAAAAGAAYAWQEAAI4FAAAAAA==&#10;">
                <v:fill on="f" focussize="0,0"/>
                <v:stroke color="#000000" joinstyle="miter"/>
                <v:imagedata o:title=""/>
                <o:lock v:ext="edit" aspectratio="t"/>
                <w10:wrap type="none"/>
                <w10:anchorlock/>
              </v:rect>
            </w:pict>
          </mc:Fallback>
        </mc:AlternateContent>
      </w:r>
    </w:p>
    <w:p w14:paraId="5C8493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B、属于应由出纳人员赔偿的现金短缺，计入应收账款</w:t>
      </w:r>
    </w:p>
    <w:p w14:paraId="16A78A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12" name="矩形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DzRejAAIAABoEAAAOAAAAZHJzL2Uyb0RvYy54bWytU81uEzEQviPxDpbv&#10;ZNOgVrDKpkIN5VJBpcIDTGzvroX/5HGyydMgceMheBzEazD2bkJbLjmwh9V4PPPNfN+Ml9d7a9hO&#10;RdTeNfxiNudMOeGldl3Dv3y+ffWGM0zgJBjvVMMPCvn16uWL5RBqtfC9N1JFRiAO6yE0vE8p1FWF&#10;olcWcOaDcnTZ+mgh0TF2lYwwELo11WI+v6oGH2WIXihE8q7HSz4hxnMAfdtqodZebK1yaUSNykAi&#10;StjrgHxVum1bJdKntkWVmGk4MU3lT0XI3uR/tVpC3UUIvRZTC3BOC884WdCOip6g1pCAbaP+B8pq&#10;ET36Ns2Et9VIpChCLC7mz7R56CGowoWkxnASHf8frPi4u49MS9qEBWcOLE3897cfv35+Z+QgdYaA&#10;NQU9hPuY+WG48+IrMudvenCdeoeBNKbsHFs9Cc4HnNL2bbQ5nQizfVH/cFJf7RMT5Lx6fcmZOPor&#10;qI9JIWL6oLxl2Wh4pIJFa9jdYcploT6G5BrO32pjymCNY0PD314uMjLQsra0JGTaQITRdQUGvdEy&#10;pxR+sdvcmMh2kBemfIUZMX8cluutAfsxrlyNq2R1UrHU7hXI906ydAikqaO3xHMzVknOjKKnl60S&#10;mUCbcyKJp3GTyqOwWeKNlwca4TZE3fVPJkErU8SZ1jvv5ONzQfr7pF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ZTkKnOAAAA/wAAAA8AAAAAAAAAAQAgAAAAIgAAAGRycy9kb3ducmV2LnhtbFBL&#10;AQIUABQAAAAIAIdO4kADzRejAAIAABoEAAAOAAAAAAAAAAEAIAAAAB0BAABkcnMvZTJvRG9jLnht&#10;bFBLBQYAAAAABgAGAFkBAACPBQ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C、无法查明原因的现金溢余，计入营业外收入</w:t>
      </w:r>
    </w:p>
    <w:p w14:paraId="60EBA8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10" name="矩形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UHLtD/wEAABoEAAAOAAAAZHJzL2Uyb0RvYy54bWytU81uEzEQviPxDpbv&#10;ZNOgVrDKpkIN5VJBpcIDTGzvroX/5HGyydMgceMheBzEazD2bkJbLjmwh9V4PPPNfN+Ml9d7a9hO&#10;RdTeNfxiNudMOeGldl3Dv3y+ffWGM0zgJBjvVMMPCvn16uWL5RBqtfC9N1JFRiAO6yE0vE8p1FWF&#10;olcWcOaDcnTZ+mgh0TF2lYwwELo11WI+v6oGH2WIXihE8q7HSz4hxnMAfdtqodZebK1yaUSNykAi&#10;StjrgHxVum1bJdKntkWVmGk4MU3lT0XI3uR/tVpC3UUIvRZTC3BOC884WdCOip6g1pCAbaP+B8pq&#10;ET36Ns2Et9VIpChCLC7mz7R56CGowoWkxnASHf8frPi4u49MS9oEksSBpYn//vbj18/vjBykzhCw&#10;pqCHcB8zPwx3XnxF5vxND65T7zCQxpSdY6snwfmAU9q+jTanE2G2L+ofTuqrfWKCnFevLzkTR38F&#10;9TEpREwflLcsGw2PVLBoDbs7TLks1MeQXMP5W21MGaxxbGj428tFRgZa1paWhEwbiDC6rsCgN1rm&#10;lMIvdpsbE9kO8sKUrzAj5o/Dcr01YD/GlatxlaxOKpbavQL53kmWDoE0dfSWeG7GKsmZUfT0slUi&#10;E2hzTiTxNG5SeRQ2S7zx8kAj3Iaou/7JJGhlijjTeuedfHwuSH+f9Oo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NQcu0P/AQAAGg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D、属于应支付给有关单位的现金溢余，计入其他应付款</w:t>
      </w:r>
    </w:p>
    <w:p w14:paraId="79DB25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下列未达账项中，会导致企业银行存款日记账余额大于银行对账单余额的有（）。</w:t>
      </w:r>
    </w:p>
    <w:p w14:paraId="47E013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KlueV/wEAABgEAAAOAAAAZHJzL2Uyb0RvYy54bWytU81uEzEQviPxDpbv&#10;ZNOgRrDKpkIN5VJBpcIDTGzvrlX/yeNkk6dB4sZD8DiI12DsTUJbLjl0D6uxPfPNfJ8/L6521rCt&#10;iqi9a/jFZMqZcsJL7bqGf/t68+YdZ5jASTDeqYbvFfKr5etXiyHUauZ7b6SKjEAc1kNoeJ9SqKsK&#10;Ra8s4MQH5eiw9dFComXsKhlhIHRrqtl0Oq8GH2WIXihE2l2Nh/yAGM8B9G2rhVp5sbHKpRE1KgOJ&#10;KGGvA/JlmbZtlUhf2hZVYqbhxDSVPzWheJ3/1XIBdRch9FocRoBzRnjGyYJ21PQEtYIEbBP1f1BW&#10;i+jRt2kivK1GIkURYnExfabNfQ9BFS4kNYaT6PhysOLz9i4yLRs+58yBpQv/8/3n718/2DxrMwSs&#10;KeU+3MXMDsOtFw/InL/uwXXqAwZSmFyUc6snyXmBh7JdG20uJ7psV7Tfn7RXu8QEbc7fXnImjvsV&#10;1MeiEDF9Ut6yHDQ8UsOiNGxvMeW2UB9Tcg/nb7Qx5VqNY0PD31/OMjKQVVuyCIU2EF10XYFBb7TM&#10;JYVf7NbXJrItZLuUrzAj5o/Tcr8VYD/mlaPRSFYnFUvvXoH86CRL+0CSOnpJPA9jleTMKHp4OSqZ&#10;CbQ5J5N4GndQeRQ2S7z2ck8XuAlRd/2TmyDDFHEO5s6OfLwuSP8e9P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EqW55X/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A、企业送存支票，银行尚未入账</w:t>
      </w:r>
    </w:p>
    <w:p w14:paraId="1D3493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BUKD6/wEAABgEAAAOAAAAZHJzL2Uyb0RvYy54bWytU81uEzEQviPxDpbv&#10;ZNOgVLDKpkIN5VJBpcIDTGzvrlX/yeNkk6dB4sZD8DiI12DsTUJbLjl0D6uxPfPNfJ8/L6521rCt&#10;iqi9a/jFZMqZcsJL7bqGf/t68+YdZ5jASTDeqYbvFfKr5etXiyHUauZ7b6SKjEAc1kNoeJ9SqKsK&#10;Ra8s4MQH5eiw9dFComXsKhlhIHRrqtl0elkNPsoQvVCItLsaD/kBMZ4D6NtWC7XyYmOVSyNqVAYS&#10;UcJeB+TLMm3bKpG+tC2qxEzDiWkqf2pC8Tr/q+UC6i5C6LU4jADnjPCMkwXtqOkJagUJ2Cbq/6Cs&#10;FtGjb9NEeFuNRIoixOJi+kyb+x6CKlxIagwn0fHlYMXn7V1kWjZ8zpkDSxf+5/vP379+sHnWZghY&#10;U8p9uIuZHYZbLx6QOX/dg+vUBwykMLko51ZPkvMCD2W7NtpcTnTZrmi/P2mvdokJ2rx8SwOI434F&#10;9bEoREyflLcsBw2P1LAoDdtbTLkt1MeU3MP5G21MuVbj2NDw9/NZRgayaksWodAGoouuKzDojZa5&#10;pPCL3fraRLaFbJfyFWbE/HFa7rcC7Me8cjQayeqkYundK5AfnWRpH0hSRy+J52GskpwZRQ8vRyUz&#10;gTbnZBJP4w4qj8Jmidde7ukCNyHqrn9yE2SYIs7B3NmRj9cF6d+DXv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MFQoPr/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B、企业开出支票，银行尚未支付</w:t>
      </w:r>
    </w:p>
    <w:p w14:paraId="3C5A14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11" name="矩形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f91XeAAIAABoEAAAOAAAAZHJzL2Uyb0RvYy54bWytU81uEzEQviPxDpbv&#10;ZJOgVrDKpkIN5VJBpcIDTGzvrlX/yeNkk6dB4sZD8DiI12DsTUJbLjl0D6vxeOab+b4ZL6521rCt&#10;iqi9a/hsMuVMOeGldl3Dv329efOOM0zgJBjvVMP3CvnV8vWrxRBqNfe9N1JFRiAO6yE0vE8p1FWF&#10;olcWcOKDcnTZ+mgh0TF2lYwwELo11Xw6vawGH2WIXihE8q7GS35AjOcA+rbVQq282Fjl0ogalYFE&#10;lLDXAfmydNu2SqQvbYsqMdNwYprKn4qQvc7/armAuosQei0OLcA5LTzjZEE7KnqCWkECton6Pyir&#10;RfTo2zQR3lYjkaIIsZhNn2lz30NQhQtJjeEkOr4crPi8vYtMS9qEGWcOLE38z/efv3/9YOQgdYaA&#10;NQXdh7uY+WG49eIBmfPXPbhOfcBAGlN2jq2eBOcDHtJ2bbQ5nQizXVF/f1Jf7RIT5Lx8e8GZOPor&#10;qI9JIWL6pLxl2Wh4pIJFa9jeYsploT6G5BrO32hjymCNY0PD31/MMzLQsra0JGTaQITRdQUGvdEy&#10;pxR+sVtfm8i2kBemfIUZMX8cluutAPsxrlyNq2R1UrHU7hXIj06ytA+kqaO3xHMzVknOjKKnl60S&#10;mUCbcyKJp3EHlUdhs8RrL/c0wk2IuuufTIJWpohzWO+8k4/PBenfk17+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ZTkKnOAAAA/wAAAA8AAAAAAAAAAQAgAAAAIgAAAGRycy9kb3ducmV2LnhtbFBL&#10;AQIUABQAAAAIAIdO4kAf91XeAAIAABoEAAAOAAAAAAAAAAEAIAAAAB0BAABkcnMvZTJvRG9jLnht&#10;bFBLBQYAAAAABgAGAFkBAACPBQ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C、银行代付的电话费，企业尚未接到付款通知</w:t>
      </w:r>
    </w:p>
    <w:p w14:paraId="2B33F0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sTM6c/wEAABgEAAAOAAAAZHJzL2Uyb0RvYy54bWytU0tu2zAQ3RfoHQju&#10;azkuEjSC5SCIm26CNkDSA4xJSiLCHzi0ZZ+mQHc9RI9T9BodUrabpBsvqoUwJGfezHt8nF9trWEb&#10;FVF71/CzyZQz5YSX2nUN//p4++4DZ5jASTDeqYbvFPKrxds38yHUauZ7b6SKjEAc1kNoeJ9SqKsK&#10;Ra8s4MQH5eiw9dFComXsKhlhIHRrqtl0elENPsoQvVCItLscD/keMZ4C6NtWC7X0Ym2VSyNqVAYS&#10;UcJeB+SLMm3bKpG+tC2qxEzDiWkqf2pC8Sr/q8Uc6i5C6LXYjwCnjPCKkwXtqOkRagkJ2Drqf6Cs&#10;FtGjb9NEeFuNRIoixOJs+kqbhx6CKlxIagxH0fH/wYrPm/vItGz4JWcOLF34728/fv38zi6zNkPA&#10;mlIewn3M7DDcefGEzPmbHlynrjGQwuSinFu9SM4L3Jdt22hzOdFl26L97qi92iYmaPPi/Tln4rBf&#10;QX0oChHTJ+Uty0HDIzUsSsPmDlNuC/UhJfdw/lYbU67VODYQr/NZRgayaksWodAGoouuKzDojZa5&#10;pPCL3erGRLaBbJfyFWbE/Hla7rcE7Me8cjQayeqkYundK5AfnWRpF0hSRy+J52GskpwZRQ8vRyUz&#10;gTanZBJP4/Yqj8JmiVde7ugC1yHqrn9xE2SYIs7e3NmRz9cF6e+DXvw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KxMzpz/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D、银行代收货款，企业尚未接到收款通知</w:t>
      </w:r>
    </w:p>
    <w:p w14:paraId="468068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6.下列各项关于企业财产清查的表述中，正确的有（　　）。</w:t>
      </w:r>
    </w:p>
    <w:p w14:paraId="4B973D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A、库存现金清查适合采用实地盘点法</w:t>
      </w:r>
    </w:p>
    <w:p w14:paraId="5F3C58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B、应收账款清查适合采用发函询证的方法</w:t>
      </w:r>
    </w:p>
    <w:p w14:paraId="683D74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C、露天堆放的煤炭清查适合采用技术推算法</w:t>
      </w:r>
    </w:p>
    <w:p w14:paraId="1ED970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D、银行存款清查适合采用与开户行核对账目的方法</w:t>
      </w:r>
    </w:p>
    <w:p w14:paraId="542D52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7.下列关于局部清查，说法正确的有（　）。</w:t>
      </w:r>
    </w:p>
    <w:p w14:paraId="514C1C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A、对于现金应由出纳员在每日业务终了时清点，做到日清月结</w:t>
      </w:r>
    </w:p>
    <w:p w14:paraId="0659D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B、对于银行存款，应由出纳员至少每月同银行核对一次</w:t>
      </w:r>
    </w:p>
    <w:p w14:paraId="062BD8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C、对于债权债务，应在年度内至少核对一至二次，有问题应及时核对，及时解决</w:t>
      </w:r>
    </w:p>
    <w:p w14:paraId="7925A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D、对于材料、在产品和产成品除年度清查外，应根据需要轮流盘点或重点抽查，对于贵重的财产物资，应每月清查盘点一次</w:t>
      </w:r>
    </w:p>
    <w:p w14:paraId="06B054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8.财产清查按清查的时间可以分为（ ）。</w:t>
      </w:r>
    </w:p>
    <w:p w14:paraId="5342219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A.年度清查    B.中期清查    C.定期清查    D.不定期清查</w:t>
      </w:r>
    </w:p>
    <w:p w14:paraId="24D3A2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9.下列各项中，属于导致银行存款日记账余额小于银行对账单余额的未达账项有（  ）。</w:t>
      </w:r>
    </w:p>
    <w:p w14:paraId="56A2C1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A.银行已付款，企业尚未付款</w:t>
      </w:r>
    </w:p>
    <w:p w14:paraId="6595A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B.企业已收款，银行尚未收款</w:t>
      </w:r>
    </w:p>
    <w:p w14:paraId="2E67D3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C.银行已收款，企业尚未收款</w:t>
      </w:r>
    </w:p>
    <w:p w14:paraId="6C2622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D.企业已付款，银行尚未付款</w:t>
      </w:r>
    </w:p>
    <w:p w14:paraId="1B3EAF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1AD54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2732CA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1.银行存款日记账应定期与银行对账单进行核对，并且至少每月核对一次。（　）</w:t>
      </w:r>
    </w:p>
    <w:p w14:paraId="3ED36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2.企业可以根据银行存款余额调节表直接调整银行存款的账面金额。（  ）</w:t>
      </w:r>
    </w:p>
    <w:p w14:paraId="6FFFBE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3.现金清查中，对于无法查明原因的现金短缺，经批准后应计入营业外支出。（  ）</w:t>
      </w:r>
    </w:p>
    <w:p w14:paraId="7FFA38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4.企业盘盈固定资产，应采用公允价值对其进行计量。（　）</w:t>
      </w:r>
    </w:p>
    <w:p w14:paraId="2495A8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5.定期清查，可以是全面清查，也可以是局部清查。（  ）</w:t>
      </w:r>
    </w:p>
    <w:p w14:paraId="681A05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6.财产清查就是指对各种实物资产的清查。（  ）</w:t>
      </w:r>
    </w:p>
    <w:p w14:paraId="53B379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r>
        <w:rPr>
          <w:rFonts w:hint="default" w:ascii="宋体" w:hAnsi="宋体" w:eastAsia="宋体" w:cs="宋体"/>
          <w:sz w:val="24"/>
          <w:szCs w:val="24"/>
          <w:lang w:val="en-US" w:eastAsia="zh-CN" w:bidi="ar-SA"/>
        </w:rPr>
        <w:t>在财产清查中，需要将清查盘点的结果与相关的账簿记录资料进行核对，这里所说的相关账簿指的是总分类账簿。</w:t>
      </w:r>
      <w:r>
        <w:rPr>
          <w:rFonts w:hint="eastAsia" w:ascii="宋体" w:hAnsi="宋体" w:eastAsia="宋体" w:cs="宋体"/>
          <w:sz w:val="24"/>
          <w:szCs w:val="24"/>
          <w:lang w:val="en-US" w:eastAsia="zh-CN" w:bidi="ar-SA"/>
        </w:rPr>
        <w:t>（  ）</w:t>
      </w:r>
    </w:p>
    <w:p w14:paraId="0819F9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8.财产清查是在账簿中对交易或事项既反映其价值量又反映其实物量的一种方法。（  ）</w:t>
      </w:r>
    </w:p>
    <w:p w14:paraId="11275A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9.对库存现金清查的基本方法是将库存现金日记账与银行对账单进行核对。（  ）</w:t>
      </w:r>
    </w:p>
    <w:p w14:paraId="2BB3EC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10.企业对银行存款的清查应在企业内部进行。（  ）</w:t>
      </w:r>
    </w:p>
    <w:p w14:paraId="4CD626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1B6767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48285D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案例背景：</w:t>
      </w:r>
    </w:p>
    <w:p w14:paraId="01FCF7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光华公司2023年12月31日进行年度财产清查。相关资料如下。</w:t>
      </w:r>
    </w:p>
    <w:p w14:paraId="65D2C4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（一）银行存款清查</w:t>
      </w:r>
    </w:p>
    <w:p w14:paraId="6539F0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截止2023年12月31日，公司“银行存款”日记账余额为458，600元，银行对账单余额为472，500元。经逐笔核对，发现以下未达账项。</w:t>
      </w:r>
    </w:p>
    <w:p w14:paraId="236B2F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（1）公司于12月30日送存银行的转账支票一张，金额32，000元，银行尚未入账。</w:t>
      </w:r>
    </w:p>
    <w:p w14:paraId="466B4A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（2）公司于12月31日开出转账支票一张支付货款，金额24，500元，持票人尚未到银行办理转账。</w:t>
      </w:r>
    </w:p>
    <w:p w14:paraId="694B8B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（3）委托银行代收的销货款15，000元，银行已于12月31日收妥入账，公司尚未收到收款通知。</w:t>
      </w:r>
    </w:p>
    <w:p w14:paraId="4F891D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（4）银行已从公司账户划转本月水电费2，400元，公司尚未收到付款通知。</w:t>
      </w:r>
    </w:p>
    <w:p w14:paraId="5ADE00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（二）实物资产清查</w:t>
      </w:r>
    </w:p>
    <w:p w14:paraId="6856FC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清查结果如下表，相关审批意见已获取。</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7F5E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0B05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财产名称</w:t>
            </w:r>
          </w:p>
        </w:tc>
        <w:tc>
          <w:tcPr>
            <w:tcW w:w="2130" w:type="dxa"/>
          </w:tcPr>
          <w:p w14:paraId="1BC359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账面结存</w:t>
            </w:r>
          </w:p>
        </w:tc>
        <w:tc>
          <w:tcPr>
            <w:tcW w:w="2131" w:type="dxa"/>
          </w:tcPr>
          <w:p w14:paraId="722EC9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实际结存</w:t>
            </w:r>
          </w:p>
        </w:tc>
        <w:tc>
          <w:tcPr>
            <w:tcW w:w="2131" w:type="dxa"/>
          </w:tcPr>
          <w:p w14:paraId="67E205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差异原因及审批意见</w:t>
            </w:r>
          </w:p>
        </w:tc>
      </w:tr>
      <w:tr w14:paraId="658D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49B12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A材料</w:t>
            </w:r>
          </w:p>
        </w:tc>
        <w:tc>
          <w:tcPr>
            <w:tcW w:w="2130" w:type="dxa"/>
          </w:tcPr>
          <w:p w14:paraId="5F1179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1000公斤</w:t>
            </w:r>
          </w:p>
        </w:tc>
        <w:tc>
          <w:tcPr>
            <w:tcW w:w="2131" w:type="dxa"/>
          </w:tcPr>
          <w:p w14:paraId="689C1E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980公斤</w:t>
            </w:r>
          </w:p>
        </w:tc>
        <w:tc>
          <w:tcPr>
            <w:tcW w:w="2131" w:type="dxa"/>
          </w:tcPr>
          <w:p w14:paraId="3F3F13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定额内自然损耗</w:t>
            </w:r>
          </w:p>
        </w:tc>
      </w:tr>
      <w:tr w14:paraId="2CF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F1970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B产品</w:t>
            </w:r>
          </w:p>
        </w:tc>
        <w:tc>
          <w:tcPr>
            <w:tcW w:w="2130" w:type="dxa"/>
          </w:tcPr>
          <w:p w14:paraId="60CC38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500件</w:t>
            </w:r>
          </w:p>
        </w:tc>
        <w:tc>
          <w:tcPr>
            <w:tcW w:w="2131" w:type="dxa"/>
          </w:tcPr>
          <w:p w14:paraId="19441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520件</w:t>
            </w:r>
          </w:p>
        </w:tc>
        <w:tc>
          <w:tcPr>
            <w:tcW w:w="2131" w:type="dxa"/>
          </w:tcPr>
          <w:p w14:paraId="2035EF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计量器具不准导致多发，冲减管理费用</w:t>
            </w:r>
          </w:p>
        </w:tc>
      </w:tr>
      <w:tr w14:paraId="40BE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9AF39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办公电脑（固定资产）</w:t>
            </w:r>
          </w:p>
        </w:tc>
        <w:tc>
          <w:tcPr>
            <w:tcW w:w="2130" w:type="dxa"/>
          </w:tcPr>
          <w:p w14:paraId="6C69EE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15台</w:t>
            </w:r>
          </w:p>
        </w:tc>
        <w:tc>
          <w:tcPr>
            <w:tcW w:w="2131" w:type="dxa"/>
          </w:tcPr>
          <w:p w14:paraId="159EC5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14台</w:t>
            </w:r>
          </w:p>
        </w:tc>
        <w:tc>
          <w:tcPr>
            <w:tcW w:w="2131" w:type="dxa"/>
          </w:tcPr>
          <w:p w14:paraId="3079DF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一台因管理不善丢失，责成保管人赔偿2，000元，其余净损失批准核销（该电脑原值6，000元，已提折旧3，500元）</w:t>
            </w:r>
          </w:p>
        </w:tc>
      </w:tr>
    </w:tbl>
    <w:p w14:paraId="120A1C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要求：</w:t>
      </w:r>
    </w:p>
    <w:p w14:paraId="0E24AD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1.根据资料（一），编制光华公司2023年12月31日的“银行存款余额调节表”，并指出调节后的余额反映了什么。</w:t>
      </w:r>
    </w:p>
    <w:p w14:paraId="1E1196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2.根据资料（二）对A材料和B产品的清查结果，编制报经批准前和批准后的会计分录（假设不考虑增值税）。</w:t>
      </w:r>
    </w:p>
    <w:p w14:paraId="71DFC0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3.根据资料（二）对办公电脑的清查结果，编制报经批准前和批准后的会计分录。</w:t>
      </w:r>
    </w:p>
    <w:p w14:paraId="2B2FA1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3B83A753">
      <w:pP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br w:type="page"/>
      </w:r>
    </w:p>
    <w:p w14:paraId="7996CC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题库参考答案</w:t>
      </w:r>
    </w:p>
    <w:p w14:paraId="1A9392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08A79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1.【答案】A。解析：无法查明原因的现金短款经批准后要计入“管理费用”；无法查明原因的现金溢余，经批准后计入“营业外收入”。</w:t>
      </w:r>
    </w:p>
    <w:p w14:paraId="48AE4A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2.【答案】A。</w:t>
      </w:r>
      <w:r>
        <w:rPr>
          <w:rFonts w:hint="default" w:ascii="宋体" w:hAnsi="宋体" w:eastAsia="宋体" w:cs="宋体"/>
          <w:sz w:val="24"/>
          <w:szCs w:val="24"/>
          <w:lang w:val="en-US" w:eastAsia="zh-CN" w:bidi="ar-SA"/>
        </w:rPr>
        <w:t>解析:电器属于有实物形态、可以确定数量的存货，应采用实地盘点法。</w:t>
      </w:r>
    </w:p>
    <w:p w14:paraId="42B39A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3.【答案】B。</w:t>
      </w:r>
      <w:r>
        <w:rPr>
          <w:rFonts w:hint="default" w:ascii="宋体" w:hAnsi="宋体" w:eastAsia="宋体" w:cs="宋体"/>
          <w:sz w:val="24"/>
          <w:szCs w:val="24"/>
          <w:lang w:val="en-US" w:eastAsia="zh-CN" w:bidi="ar-SA"/>
        </w:rPr>
        <w:t>解析:选项B错误，露天堆放煤炭的清查，采用技术推算法。</w:t>
      </w:r>
    </w:p>
    <w:p w14:paraId="719AE5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4.【答案】C。</w:t>
      </w:r>
      <w:r>
        <w:rPr>
          <w:rFonts w:hint="default" w:ascii="宋体" w:hAnsi="宋体" w:eastAsia="宋体" w:cs="宋体"/>
          <w:sz w:val="24"/>
          <w:szCs w:val="24"/>
          <w:lang w:val="en-US" w:eastAsia="zh-CN" w:bidi="ar-SA"/>
        </w:rPr>
        <w:t>解析:选项A，在对方未到银行兑现之前通过“应收票据”或者“应付票据”核算，不影响银行存款日记账和对账单的余额。选项BD，都会导致企业银行存款日记账的余额小于银行对账单的余额。</w:t>
      </w:r>
    </w:p>
    <w:p w14:paraId="1F5CD5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5.【答案】D。</w:t>
      </w:r>
      <w:r>
        <w:rPr>
          <w:rFonts w:hint="default" w:ascii="宋体" w:hAnsi="宋体" w:eastAsia="宋体" w:cs="宋体"/>
          <w:sz w:val="24"/>
          <w:szCs w:val="24"/>
          <w:lang w:val="en-US" w:eastAsia="zh-CN" w:bidi="ar-SA"/>
        </w:rPr>
        <w:t>解析:以企业的日记账余额为基础，银行已付企业未付的项目属于调节项目，所以调节之后的银行存款余额=150-2=148（万元），选项D正确。</w:t>
      </w:r>
    </w:p>
    <w:p w14:paraId="321D39F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6.【答案】D。</w:t>
      </w:r>
      <w:r>
        <w:rPr>
          <w:rFonts w:hint="default" w:ascii="宋体" w:hAnsi="宋体" w:eastAsia="宋体" w:cs="宋体"/>
          <w:sz w:val="24"/>
          <w:szCs w:val="24"/>
          <w:lang w:val="en-US" w:eastAsia="zh-CN" w:bidi="ar-SA"/>
        </w:rPr>
        <w:t>解析:盘盈的固定资产，应按重置成本确定其入账价值，借记“固定资产”科目，贷记“以前年度损益调整”科目。</w:t>
      </w:r>
    </w:p>
    <w:p w14:paraId="054384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7.【答案】B。解析：2x23年9月30日，甲公司银行存款余额调节表中调节后的银行存款余额＝485-5（或500-20)=480（万元），选项B正确。</w:t>
      </w:r>
    </w:p>
    <w:p w14:paraId="3F968D1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8.【答案】D。解析:因管理不善导致的丢失、被盗、霉烂变质，存货进项税额不允许抵扣，应作转出处理。自然灾害造成的存货毁损，其进项税额可以抵扣，不需要做转出处理。选项A，借：待处理财产损溢 　　贷：库存商品 批准处理后 借：其他应收款 　　管理费用 　　贷：待处理财产损溢 　　　　应交税费——应交增值税（进项税额转出）。选项B，借：待处理财产损溢 　　贷：库存商品 批准处理后 借：其他应收款 　　营业外支出 　　贷：待处理财产损溢。选项C，如果上述存货发生减值，此时需要将存货跌价准备转入待处理财产损溢，即，借：存货跌价准备 　　贷：待处理财产损溢。选项D，只有管理不善造成的损失需要进项税额转出，其分录与选项B相同。</w:t>
      </w:r>
    </w:p>
    <w:p w14:paraId="431C14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C。解析:重置成本又称现行成本，是指按照当前市场条件，重新取得同样一项资产所需支付的现金或现金等价物金额，在重置成本下，资产按照现在购买相同或者相似资产所需支付的现金或者现金等价物的金额计量，负债按照现在偿付该项债务所需支付的现金或现金等价物的金额计量。盘盈的存货应按其重置成本作为入账价值，并通过“待处理财产损溢”科目进行会计处理，按管理权限报经批准后冲减当期管理费用。</w:t>
      </w:r>
    </w:p>
    <w:p w14:paraId="3CE514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批准前：</w:t>
      </w:r>
    </w:p>
    <w:p w14:paraId="328D5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借：库存商品等科目 </w:t>
      </w:r>
    </w:p>
    <w:p w14:paraId="5D3912A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贷：待处理财产损溢 </w:t>
      </w:r>
    </w:p>
    <w:p w14:paraId="7C85B2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批准后：</w:t>
      </w:r>
    </w:p>
    <w:p w14:paraId="161E84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借：待处理财产损溢 </w:t>
      </w:r>
    </w:p>
    <w:p w14:paraId="09B752A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　　贷：管理费用</w:t>
      </w:r>
    </w:p>
    <w:p w14:paraId="15930F5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10.【答案】B。解析：对于盘盈固定资产的计量应当采用重置成本，即以现在市场上与该盘盈固定资产相同规格型号、相同新旧程度的固定资产的价值作为其重置成本入账。</w:t>
      </w:r>
    </w:p>
    <w:p w14:paraId="0DCF9D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11.【答案】D。解析：年终决算之前的财产清查属于全面清查，其时间也是固定的。</w:t>
      </w:r>
    </w:p>
    <w:p w14:paraId="0B39685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20900A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二、多选题</w:t>
      </w:r>
    </w:p>
    <w:p w14:paraId="27FC8A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1.【答案】ABCD</w:t>
      </w:r>
    </w:p>
    <w:p w14:paraId="6B01A5F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解析:除选项ABCD所列情况外，需要进行全面清查的情况还包括：（1）年终决算前；（2）在合并、撤销前；（3）中外合资、国内合资前；（4）开展全面的资产评估前等。</w:t>
      </w:r>
    </w:p>
    <w:p w14:paraId="394B78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2.【答案】AB</w:t>
      </w:r>
    </w:p>
    <w:p w14:paraId="717EE3E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解析:单位撤销、合并或改变隶属关系前，需要进行全面清查，同时这种清查也是不定期的。</w:t>
      </w:r>
    </w:p>
    <w:p w14:paraId="602731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3.【答案】ABC</w:t>
      </w:r>
    </w:p>
    <w:p w14:paraId="1E2DF9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解析:选项D，实物资产的清查方法主要有实地盘点法和技术推算法，并不是所有的实物资产都能用实地盘点法进行清查。</w:t>
      </w:r>
    </w:p>
    <w:p w14:paraId="21910D9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4.【答案】ACD</w:t>
      </w:r>
    </w:p>
    <w:p w14:paraId="5C6642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解析:选项B，属于应由出纳人员赔偿的现金短缺，计入其他应收款。</w:t>
      </w:r>
    </w:p>
    <w:p w14:paraId="3B13F1F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5.【答案】AC</w:t>
      </w:r>
    </w:p>
    <w:p w14:paraId="3337B44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解析:选项BD导致企业银行存款日记账余额小于银行对账单余额。</w:t>
      </w:r>
    </w:p>
    <w:p w14:paraId="553760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6.【答案】ABCD</w:t>
      </w:r>
    </w:p>
    <w:p w14:paraId="734480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解析:考核各资产适用的清查方法。</w:t>
      </w:r>
    </w:p>
    <w:p w14:paraId="54DA49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7.【答案】ABCD</w:t>
      </w:r>
    </w:p>
    <w:p w14:paraId="44B02A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局部清查是指根据需要对一部分财产进行的清查。局部清查范围小，涉及人员少，但专业性较强，其清查对象主要是流动性较强的财产，一般包括：库存现金、银行存款、库存商品、原材料、包装物等和债权债务等。库存现金应当做到日清月结，选项A正确，银行存款应由出纳员每月同银行核对，编制银行存款余额调节表，选项B正确，选项CD都都是正确的。</w:t>
      </w:r>
    </w:p>
    <w:p w14:paraId="0B6B96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8.【答案】CD</w:t>
      </w:r>
    </w:p>
    <w:p w14:paraId="0A2BAF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解析：财产清查按清查的时间分为定期清查和不定期清查。</w:t>
      </w:r>
    </w:p>
    <w:p w14:paraId="6DEB00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9.【答案】CD</w:t>
      </w:r>
    </w:p>
    <w:p w14:paraId="3B8913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解析：选项AB会导致银行存款日记账余额大于银行对账单余额。</w:t>
      </w:r>
    </w:p>
    <w:p w14:paraId="032314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0C0487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48C7F34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1.【答案】对。</w:t>
      </w:r>
      <w:r>
        <w:rPr>
          <w:rFonts w:hint="default" w:ascii="宋体" w:hAnsi="宋体" w:eastAsia="宋体" w:cs="宋体"/>
          <w:sz w:val="24"/>
          <w:szCs w:val="24"/>
          <w:lang w:val="en-US" w:eastAsia="zh-CN" w:bidi="ar-SA"/>
        </w:rPr>
        <w:t>解析:该表述正确。</w:t>
      </w:r>
    </w:p>
    <w:p w14:paraId="4FF7284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b w:val="0"/>
          <w:bCs w:val="0"/>
          <w:sz w:val="24"/>
          <w:szCs w:val="24"/>
          <w:lang w:val="en-US" w:eastAsia="zh-CN" w:bidi="ar-SA"/>
        </w:rPr>
        <w:t>2.</w:t>
      </w:r>
      <w:r>
        <w:rPr>
          <w:rFonts w:hint="eastAsia" w:ascii="宋体" w:hAnsi="宋体" w:eastAsia="宋体" w:cs="宋体"/>
          <w:sz w:val="24"/>
          <w:szCs w:val="24"/>
          <w:lang w:val="en-US" w:eastAsia="zh-CN" w:bidi="ar-SA"/>
        </w:rPr>
        <w:t>【答案】错。</w:t>
      </w:r>
      <w:r>
        <w:rPr>
          <w:rFonts w:hint="default" w:ascii="宋体" w:hAnsi="宋体" w:eastAsia="宋体" w:cs="宋体"/>
          <w:sz w:val="24"/>
          <w:szCs w:val="24"/>
          <w:lang w:val="en-US" w:eastAsia="zh-CN" w:bidi="ar-SA"/>
        </w:rPr>
        <w:t>解析:银行存款余额调节表只是为了消除未达账项的影响，核对银行存款账目有无错误，该表本身并非原始凭证，不能根据该表在银行存款日记账上登记，只有等到银行转来有关结算凭证后再按记账程序登记入账。</w:t>
      </w:r>
    </w:p>
    <w:p w14:paraId="2EF22C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b w:val="0"/>
          <w:bCs w:val="0"/>
          <w:sz w:val="24"/>
          <w:szCs w:val="24"/>
          <w:lang w:val="en-US" w:eastAsia="zh-CN" w:bidi="ar-SA"/>
        </w:rPr>
        <w:t>3.</w:t>
      </w:r>
      <w:r>
        <w:rPr>
          <w:rFonts w:hint="eastAsia" w:ascii="宋体" w:hAnsi="宋体" w:eastAsia="宋体" w:cs="宋体"/>
          <w:sz w:val="24"/>
          <w:szCs w:val="24"/>
          <w:lang w:val="en-US" w:eastAsia="zh-CN" w:bidi="ar-SA"/>
        </w:rPr>
        <w:t>【答案】错。</w:t>
      </w:r>
      <w:r>
        <w:rPr>
          <w:rFonts w:hint="default" w:ascii="宋体" w:hAnsi="宋体" w:eastAsia="宋体" w:cs="宋体"/>
          <w:sz w:val="24"/>
          <w:szCs w:val="24"/>
          <w:lang w:val="en-US" w:eastAsia="zh-CN" w:bidi="ar-SA"/>
        </w:rPr>
        <w:t>解析:应该计入到管理费用。</w:t>
      </w:r>
    </w:p>
    <w:p w14:paraId="06B9DC5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4.</w:t>
      </w:r>
      <w:r>
        <w:rPr>
          <w:rFonts w:hint="eastAsia" w:ascii="宋体" w:hAnsi="宋体" w:eastAsia="宋体" w:cs="宋体"/>
          <w:sz w:val="24"/>
          <w:szCs w:val="24"/>
          <w:lang w:val="en-US" w:eastAsia="zh-CN" w:bidi="ar-SA"/>
        </w:rPr>
        <w:t>【答案】错。</w:t>
      </w:r>
      <w:r>
        <w:rPr>
          <w:rFonts w:hint="default" w:ascii="宋体" w:hAnsi="宋体" w:eastAsia="宋体" w:cs="宋体"/>
          <w:sz w:val="24"/>
          <w:szCs w:val="24"/>
          <w:lang w:val="en-US" w:eastAsia="zh-CN" w:bidi="ar-SA"/>
        </w:rPr>
        <w:t>解析:盘盈资产，应采用重置成本进行计量。</w:t>
      </w:r>
    </w:p>
    <w:p w14:paraId="36AE10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b w:val="0"/>
          <w:bCs w:val="0"/>
          <w:sz w:val="24"/>
          <w:szCs w:val="24"/>
          <w:lang w:val="en-US" w:eastAsia="zh-CN" w:bidi="ar-SA"/>
        </w:rPr>
        <w:t>5.</w:t>
      </w:r>
      <w:r>
        <w:rPr>
          <w:rFonts w:hint="eastAsia" w:ascii="宋体" w:hAnsi="宋体" w:eastAsia="宋体" w:cs="宋体"/>
          <w:sz w:val="24"/>
          <w:szCs w:val="24"/>
          <w:lang w:val="en-US" w:eastAsia="zh-CN" w:bidi="ar-SA"/>
        </w:rPr>
        <w:t>【答案】对。解析：表述正确。</w:t>
      </w:r>
    </w:p>
    <w:p w14:paraId="007D2F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6.【答案】错。</w:t>
      </w: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财产清查还包括对货币资金和应收账款等非实物资产的清查。</w:t>
      </w:r>
    </w:p>
    <w:p w14:paraId="3A75C1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7.【答案】错。</w:t>
      </w: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相关的账簿应是指序时账簿和明细分类账簿。总分类账簿反映的是总体情况，并且只反映价值量，在财产清查中无法对实物量等进行核对。</w:t>
      </w:r>
    </w:p>
    <w:p w14:paraId="107AA5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8.【答案】错。</w:t>
      </w: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财产清查是保证账簿所提供的资料更为真实客观的一种方法。</w:t>
      </w:r>
    </w:p>
    <w:p w14:paraId="654D28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9.【答案】错。</w:t>
      </w: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对库存现金清查的基本方法是实地盘点法。</w:t>
      </w:r>
    </w:p>
    <w:p w14:paraId="0C663E5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bookmarkStart w:id="0" w:name="_GoBack"/>
      <w:bookmarkEnd w:id="0"/>
      <w:r>
        <w:rPr>
          <w:rFonts w:hint="eastAsia" w:ascii="宋体" w:hAnsi="宋体" w:eastAsia="宋体" w:cs="宋体"/>
          <w:sz w:val="24"/>
          <w:szCs w:val="24"/>
          <w:lang w:val="en-US" w:eastAsia="zh-CN" w:bidi="ar-SA"/>
        </w:rPr>
        <w:t>【答案】错。</w:t>
      </w:r>
      <w:r>
        <w:rPr>
          <w:rFonts w:hint="default" w:ascii="宋体" w:hAnsi="宋体" w:eastAsia="宋体" w:cs="宋体"/>
          <w:sz w:val="24"/>
          <w:szCs w:val="24"/>
          <w:lang w:val="en-US" w:eastAsia="zh-CN" w:bidi="ar-SA"/>
        </w:rPr>
        <w:t>解析:银行存款的清查应由企业与其开户银行进行核对。</w:t>
      </w:r>
    </w:p>
    <w:p w14:paraId="4A81D0F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p>
    <w:p w14:paraId="3C3877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42F17C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【答案要点】</w:t>
      </w:r>
    </w:p>
    <w:p w14:paraId="5D4C67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1.银行存款余额调节表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C93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6C1A5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w:t>
            </w:r>
          </w:p>
        </w:tc>
        <w:tc>
          <w:tcPr>
            <w:tcW w:w="2130" w:type="dxa"/>
          </w:tcPr>
          <w:p w14:paraId="4F554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金额</w:t>
            </w:r>
          </w:p>
        </w:tc>
        <w:tc>
          <w:tcPr>
            <w:tcW w:w="2131" w:type="dxa"/>
          </w:tcPr>
          <w:p w14:paraId="5C4342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w:t>
            </w:r>
          </w:p>
        </w:tc>
        <w:tc>
          <w:tcPr>
            <w:tcW w:w="2131" w:type="dxa"/>
          </w:tcPr>
          <w:p w14:paraId="144FA5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金额</w:t>
            </w:r>
          </w:p>
        </w:tc>
      </w:tr>
      <w:tr w14:paraId="5ABE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FC7C1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企业日记账余额</w:t>
            </w:r>
          </w:p>
        </w:tc>
        <w:tc>
          <w:tcPr>
            <w:tcW w:w="2130" w:type="dxa"/>
          </w:tcPr>
          <w:p w14:paraId="713D0C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458600</w:t>
            </w:r>
          </w:p>
        </w:tc>
        <w:tc>
          <w:tcPr>
            <w:tcW w:w="2131" w:type="dxa"/>
          </w:tcPr>
          <w:p w14:paraId="00FCA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银行对账单余额</w:t>
            </w:r>
          </w:p>
        </w:tc>
        <w:tc>
          <w:tcPr>
            <w:tcW w:w="2131" w:type="dxa"/>
          </w:tcPr>
          <w:p w14:paraId="602ADB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472500</w:t>
            </w:r>
          </w:p>
        </w:tc>
      </w:tr>
      <w:tr w14:paraId="18F9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1629E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加：银行已收，企业未收</w:t>
            </w:r>
          </w:p>
        </w:tc>
        <w:tc>
          <w:tcPr>
            <w:tcW w:w="2130" w:type="dxa"/>
          </w:tcPr>
          <w:p w14:paraId="1F8798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15000</w:t>
            </w:r>
          </w:p>
        </w:tc>
        <w:tc>
          <w:tcPr>
            <w:tcW w:w="2131" w:type="dxa"/>
          </w:tcPr>
          <w:p w14:paraId="4170CF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加：企业已收，银行未收</w:t>
            </w:r>
          </w:p>
        </w:tc>
        <w:tc>
          <w:tcPr>
            <w:tcW w:w="2131" w:type="dxa"/>
          </w:tcPr>
          <w:p w14:paraId="73AC5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32000</w:t>
            </w:r>
          </w:p>
        </w:tc>
      </w:tr>
      <w:tr w14:paraId="1223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DADD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减：银行已付，企业未付</w:t>
            </w:r>
          </w:p>
        </w:tc>
        <w:tc>
          <w:tcPr>
            <w:tcW w:w="2130" w:type="dxa"/>
          </w:tcPr>
          <w:p w14:paraId="72B8EE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2400</w:t>
            </w:r>
          </w:p>
        </w:tc>
        <w:tc>
          <w:tcPr>
            <w:tcW w:w="2131" w:type="dxa"/>
          </w:tcPr>
          <w:p w14:paraId="454104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减：企业已付，银行未付</w:t>
            </w:r>
          </w:p>
        </w:tc>
        <w:tc>
          <w:tcPr>
            <w:tcW w:w="2131" w:type="dxa"/>
          </w:tcPr>
          <w:p w14:paraId="72BA64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24500</w:t>
            </w:r>
          </w:p>
        </w:tc>
      </w:tr>
      <w:tr w14:paraId="44CE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96C01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调节后余额</w:t>
            </w:r>
          </w:p>
        </w:tc>
        <w:tc>
          <w:tcPr>
            <w:tcW w:w="2130" w:type="dxa"/>
          </w:tcPr>
          <w:p w14:paraId="0982EF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471200</w:t>
            </w:r>
          </w:p>
        </w:tc>
        <w:tc>
          <w:tcPr>
            <w:tcW w:w="2131" w:type="dxa"/>
          </w:tcPr>
          <w:p w14:paraId="381C71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调节后余额</w:t>
            </w:r>
          </w:p>
        </w:tc>
        <w:tc>
          <w:tcPr>
            <w:tcW w:w="2131" w:type="dxa"/>
          </w:tcPr>
          <w:p w14:paraId="715AD7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471200</w:t>
            </w:r>
          </w:p>
        </w:tc>
      </w:tr>
    </w:tbl>
    <w:p w14:paraId="6126A6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调节后的余额（471200元）是企业可动用的银行存款实际数额，是次月登记未达账项的依据。但不能据此调整账面记录，必须待凭证到达后方可入账。</w:t>
      </w:r>
    </w:p>
    <w:p w14:paraId="73FEF2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2.A材料（盘亏）</w:t>
      </w:r>
    </w:p>
    <w:p w14:paraId="22E597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批准前</w:t>
      </w:r>
    </w:p>
    <w:p w14:paraId="7CCB75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借：待处理财产损溢 980 </w:t>
      </w:r>
    </w:p>
    <w:p w14:paraId="313AE2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贷：原材料—A材料 980</w:t>
      </w:r>
    </w:p>
    <w:p w14:paraId="4E3007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批准后</w:t>
      </w:r>
    </w:p>
    <w:p w14:paraId="57DA07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借：管理费用 980 </w:t>
      </w:r>
    </w:p>
    <w:p w14:paraId="41B8F1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贷：待处理财产损溢 980</w:t>
      </w:r>
    </w:p>
    <w:p w14:paraId="082D19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69BAA4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B产品（盘盈）</w:t>
      </w:r>
    </w:p>
    <w:p w14:paraId="4FCFEF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批准前</w:t>
      </w:r>
    </w:p>
    <w:p w14:paraId="48D24A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借：库存商品—B产品 520 </w:t>
      </w:r>
    </w:p>
    <w:p w14:paraId="5336FC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贷：待处理财产损溢 520</w:t>
      </w:r>
    </w:p>
    <w:p w14:paraId="3D71ED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批准后</w:t>
      </w:r>
    </w:p>
    <w:p w14:paraId="059307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借：待处理财产损溢 520 </w:t>
      </w:r>
    </w:p>
    <w:p w14:paraId="635F06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贷：管理费用    520</w:t>
      </w:r>
    </w:p>
    <w:p w14:paraId="6ADC0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BA83F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3.固定资产清查账务处理（电脑盘亏）</w:t>
      </w:r>
    </w:p>
    <w:p w14:paraId="40BA36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批准前：</w:t>
      </w:r>
    </w:p>
    <w:p w14:paraId="326B1B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借：待处理财产损溢 2500</w:t>
      </w:r>
    </w:p>
    <w:p w14:paraId="1A64C6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累计折旧 3500</w:t>
      </w:r>
    </w:p>
    <w:p w14:paraId="1C17D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    贷：固定资产    6000</w:t>
      </w:r>
    </w:p>
    <w:p w14:paraId="129F78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批准后：</w:t>
      </w:r>
    </w:p>
    <w:p w14:paraId="54D51D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借：其他应收款—保管人 2000</w:t>
      </w:r>
    </w:p>
    <w:p w14:paraId="2EE1D6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营业外支出—盘亏损失 500</w:t>
      </w:r>
    </w:p>
    <w:p w14:paraId="3AC1C4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贷：待处理财产损溢    2500</w:t>
      </w:r>
    </w:p>
    <w:p w14:paraId="27848EF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ansC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F79D8"/>
    <w:rsid w:val="12B447DF"/>
    <w:rsid w:val="1FFF35F6"/>
    <w:rsid w:val="29F55511"/>
    <w:rsid w:val="33F74BB1"/>
    <w:rsid w:val="45E91048"/>
    <w:rsid w:val="4A21681A"/>
    <w:rsid w:val="59EF79D8"/>
    <w:rsid w:val="6C1E27F0"/>
    <w:rsid w:val="6CA91A71"/>
    <w:rsid w:val="7C275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3432</Words>
  <Characters>3696</Characters>
  <Lines>0</Lines>
  <Paragraphs>0</Paragraphs>
  <TotalTime>8</TotalTime>
  <ScaleCrop>false</ScaleCrop>
  <LinksUpToDate>false</LinksUpToDate>
  <CharactersWithSpaces>3806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2025-11-15T09:21:00Z</dcterms:created>
  <dc:creator>雪灵鸢</dc:creator>
  <cp:lastModifiedBy>雪灵鸢</cp:lastModifiedBy>
  <dcterms:modified xsi:type="dcterms:W3CDTF">2025-12-03T09:03:07Z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B8E1D8EA73394D129E061DD13105B9A2_11</vt:lpwstr>
  </property>
  <property fmtid="{D5CDD505-2E9C-101B-9397-08002B2CF9AE}" pid="4" name="KSOTemplateDocerSaveRecord">
    <vt:lpwstr>eyJoZGlkIjoiNTE3NDBmYmJjNGEzZjBlZTEyNWM4NWMzZjUxMDZmZmQiLCJ1c2VySWQiOiI4NTkyNzM0NDgifQ==</vt:lpwstr>
  </property>
</Properties>
</file>